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33073-П/2000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Подольского городского суда Московской области о проверке конституционности части первой статьи 337 и части третьей статьи 379 Таможенного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Т.Г.Морщаковой, Ю.Д.Рудкина, А.Я.Сливы, В.Г.Стрекозова, О.И.Тиунова, О.С.Хохряковой, Б.С.Эбзеева, В.Г.Ярославцева, рассмотрев в пленарном заседании вопрос о соответствии запроса Подольского городского суда Московской области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Подольский городской суд Московской области, в производстве которого находится дело по жалобе гражданина В.И.Троня на действия Московской западной таможни,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праве собственности гражданина на транспортное средство, которое не прошло таможенное оформление, уже рассматривался Конституционным Судом Российской Федерации в деле о проверке конституционности положений части первой статьи 131 и части первой статьи 380 Таможенного кодекса Российской Федерации. В постановлении от 14 мая 1999 года по данному делу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102 Федерального конституционного закона "О Конституционном Суде Российской Федерации" запрос суда о проверке конституционности закона допустим, если закон применен или подлежит, по мнению суда, применению в рассматриваемом им конкретном деле. По смыслу данной нормы, прежде чем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Подольского городского суда Московской области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Федерации", а также,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