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spacing w:after="80"/>
        <w:jc w:val="center"/>
      </w:pPr>
      <w:r>
        <w:rPr>
          <w:rFonts w:ascii="Times New Roman" w:hAnsi="Times New Roman" w:eastAsia="Times New Roman" w:cs="Times New Roman"/>
          <w:b/>
          <w:i w:val="0"/>
          <w:sz w:val="28"/>
        </w:rPr>
        <w:t>КОНСТИТУЦИОННЫЙ СУД РОССИЙСКОЙ ФЕДЕРАЦИИ</w:t>
      </w:r>
    </w:p>
    <w:p>
      <w:pPr>
        <w:pStyle w:val="Heading1"/>
        <w:jc w:val="center"/>
      </w:pPr>
      <w:r>
        <w:rPr>
          <w:rFonts w:ascii="Times New Roman" w:hAnsi="Times New Roman" w:eastAsia="Times New Roman" w:cs="Times New Roman"/>
          <w:b/>
          <w:i w:val="0"/>
          <w:sz w:val="28"/>
        </w:rPr>
        <w:t>ПОСТАНОВЛЕНИЕ</w:t>
      </w:r>
    </w:p>
    <w:p>
      <w:pPr>
        <w:spacing w:after="80"/>
        <w:jc w:val="center"/>
      </w:pPr>
      <w:r>
        <w:rPr>
          <w:rFonts w:ascii="Times New Roman" w:hAnsi="Times New Roman" w:eastAsia="Times New Roman" w:cs="Times New Roman"/>
          <w:b/>
          <w:i w:val="0"/>
          <w:sz w:val="24"/>
        </w:rPr>
        <w:t>№ 33886-П/1999</w:t>
      </w:r>
    </w:p>
    <w:p>
      <w:pPr>
        <w:spacing w:after="80"/>
        <w:jc w:val="center"/>
      </w:pPr>
      <w:r>
        <w:rPr>
          <w:rFonts w:ascii="Times New Roman" w:hAnsi="Times New Roman" w:eastAsia="Times New Roman" w:cs="Times New Roman"/>
          <w:b w:val="0"/>
          <w:i w:val="0"/>
          <w:sz w:val="22"/>
        </w:rPr>
        <w:t>город Москва</w:t>
      </w:r>
    </w:p>
    <w:p>
      <w:pPr>
        <w:spacing w:after="200"/>
        <w:jc w:val="center"/>
      </w:pPr>
      <w:r>
        <w:rPr>
          <w:rFonts w:ascii="Times New Roman" w:hAnsi="Times New Roman" w:eastAsia="Times New Roman" w:cs="Times New Roman"/>
          <w:b w:val="0"/>
          <w:i w:val="0"/>
          <w:sz w:val="22"/>
        </w:rPr>
        <w:t>1 июля 1999 года</w:t>
      </w:r>
    </w:p>
    <w:p>
      <w:pPr>
        <w:spacing w:before="200" w:after="300"/>
        <w:pBdr>
          <w:bottom w:val="single" w:sz="6" w:space="1" w:color="000000"/>
        </w:pBdr>
      </w:pPr>
    </w:p>
    <w:p>
      <w:pPr>
        <w:pStyle w:val="Heading2"/>
        <w:jc w:val="center"/>
      </w:pPr>
      <w:r>
        <w:rPr>
          <w:rFonts w:ascii="Times New Roman" w:hAnsi="Times New Roman" w:eastAsia="Times New Roman" w:cs="Times New Roman"/>
          <w:b/>
          <w:i w:val="0"/>
          <w:sz w:val="22"/>
        </w:rPr>
        <w:t>Об отказе в принятии к рассмотрению жалобы Уполномоченного по правам человека в Российской Федерации на нарушение конституционных прав гражданина С.О.Сулейманова частью второй статьи 276 Кодекса РСФСР об административных правонарушениях</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Состав суда</w:t>
      </w:r>
    </w:p>
    <w:p>
      <w:pPr>
        <w:spacing w:after="120"/>
        <w:ind w:firstLine="720"/>
        <w:jc w:val="both"/>
      </w:pPr>
      <w:r>
        <w:rPr>
          <w:rFonts w:ascii="Times New Roman" w:hAnsi="Times New Roman" w:eastAsia="Times New Roman" w:cs="Times New Roman"/>
          <w:b w:val="0"/>
          <w:i w:val="0"/>
          <w:sz w:val="22"/>
        </w:rPr>
        <w:t>Конституционный Суд Российской Федерации в составе заместителя Председателя Т.Г.Морщаковой, судей Н.Т.Ведерникова, Н.В.Витрука, Г.А.Гаджиева, Ю.М.Данилова, Л.М.Жарковой, Г.А.Жилина, В.Д.Зорькина, В.О.Лучина, Ю.Д.Рудкина, В.Г.Стрекозова, О.С.Хохряковой, Б.С.Эбзеева, В.Г.Ярославцева, заслушав в пленарном заседании заключение судьи Н.Т.Ведерникова, проводившего на основании статьи 41 Федерального конституционного закона "О Конституционном Суде Российской Федерации" предварительное изучение жалобы Уполномоченного по правам человека в Российской Федерации,</w:t>
      </w:r>
    </w:p>
    <w:p>
      <w:pPr>
        <w:spacing w:before="200" w:after="300"/>
        <w:pBdr>
          <w:bottom w:val="single" w:sz="6" w:space="1" w:color="000000"/>
        </w:pBdr>
      </w:pPr>
    </w:p>
    <w:p>
      <w:pPr>
        <w:pStyle w:val="Heading3"/>
      </w:pPr>
      <w:r>
        <w:rPr>
          <w:rFonts w:ascii="Times New Roman" w:hAnsi="Times New Roman" w:eastAsia="Times New Roman" w:cs="Times New Roman"/>
          <w:b/>
          <w:i w:val="0"/>
          <w:sz w:val="22"/>
        </w:rPr>
        <w:t>Пункт 1. Обстоятельства дела</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Уполномоченный по правам человека в Российской Федерации в соответствии с подпунктом 5 пункта 1 статьи 29 Федерального конституционного закона "Об уполномоченном по правам человека в Российской Федерации" обратился в</w:t>
      </w:r>
    </w:p>
    <w:p>
      <w:pPr>
        <w:pStyle w:val="Heading3"/>
      </w:pPr>
      <w:r>
        <w:rPr>
          <w:rFonts w:ascii="Times New Roman" w:hAnsi="Times New Roman" w:eastAsia="Times New Roman" w:cs="Times New Roman"/>
          <w:b/>
          <w:i w:val="0"/>
          <w:sz w:val="22"/>
        </w:rPr>
        <w:t>Пункт 2. Выводы</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Статья 53 Конституции Российской Федерации, провозглашая право каждого на возмещение государством вреда, причиненного незаконными действиями (или бездействием) органов государственной власти и их должностных лиц, не устанавливает конкретные способы, виды и объем такого возмещения, что является компетенцией законодателя. Как следует из представленных материалов, обращение С.О.Сулейманова в 1994 году в суд с иском о возмещении морального ущерба было вызвано причинением вреда его человеческой и 2 деловой репутации. Согласно действовавшей в тот период статье 131 Основ гражданского законодательства Союза ССР и республик личные неимущественные права и другие нематериальные блага (достоинство личности, честь и доброе имя, деловая репутация и т.д.) составляли предмет регулирования не административного, а гражданского законодательства. Их нарушение влекло обязанность по возмещению причиненного морального вреда (физических или нравственных страданий), форма и размер которого определялись судом. Между тем требования С.О.Сулейманова были квалифицированы судом как вытекающие из административных правоотношений. Однако выбор той или иной нормы материального права, подлежащей применению в конкретном деле, - прерогатива суда, а проверка правильности такого выбора - полномочие вышестоящих судов общей юрисдикции и иных органов. Следовательно, перед Конституционным Судом Российской Федерации фактически ставится неподведомственный ему вопрос. Кроме того, заявитель не оспаривает часть вторую статьи 276 Кодекса РСФСР об административных правонарушениях по существу, связывая ее неконституционность с отсутствием положения, предусматривающего обязанность государства по возмещению морального вреда, причиненного гражданам иными незаконными административными действиями. Фактически это предполагает не проверку конституционности оспариваемой нормы, целью которой является соразмерное восстановление нарушенных прав граждан, а принятие иного - законодательного - решения, что также неподведомственно Конституционному Суду Российской Федерации, а является компетенцией законодателя. Исходя из изложенного и руководствуясь пунктом 1 части первой статьи 43 и частью первой статьи 79 Федерального конституционного закона "О Конституционном Суде Российской Федерации",</w:t>
      </w:r>
    </w:p>
    <w:p>
      <w:pPr>
        <w:spacing w:before="200" w:after="300"/>
        <w:pBdr>
          <w:bottom w:val="single" w:sz="6" w:space="1" w:color="000000"/>
        </w:pBdr>
      </w:pPr>
    </w:p>
    <w:p>
      <w:pPr>
        <w:pStyle w:val="Heading1"/>
        <w:jc w:val="center"/>
      </w:pPr>
      <w:r>
        <w:rPr>
          <w:rFonts w:ascii="Times New Roman" w:hAnsi="Times New Roman" w:eastAsia="Times New Roman" w:cs="Times New Roman"/>
          <w:b/>
          <w:i w:val="0"/>
          <w:sz w:val="28"/>
        </w:rPr>
        <w:t>ОПРЕДЕЛИЛ:</w:t>
      </w:r>
    </w:p>
    <w:p>
      <w:pPr>
        <w:spacing w:after="120" w:before="160"/>
        <w:ind w:firstLine="720"/>
        <w:jc w:val="both"/>
      </w:pPr>
      <w:r>
        <w:rPr>
          <w:rFonts w:ascii="Times New Roman" w:hAnsi="Times New Roman" w:eastAsia="Times New Roman" w:cs="Times New Roman"/>
          <w:b/>
          <w:i w:val="0"/>
          <w:sz w:val="22"/>
        </w:rPr>
        <w:t xml:space="preserve">1. </w:t>
      </w:r>
      <w:r>
        <w:rPr>
          <w:rFonts w:ascii="Times New Roman" w:hAnsi="Times New Roman" w:eastAsia="Times New Roman" w:cs="Times New Roman"/>
          <w:b w:val="0"/>
          <w:i w:val="0"/>
          <w:sz w:val="22"/>
        </w:rPr>
        <w:t>Отказать в принятии к рассмотрению жалобы Уполномоченного по правам человека в Российской Федерации ввиду неподведомственности поставленного в ней вопроса Конституционному Суду Российской Федерации.</w:t>
      </w:r>
    </w:p>
    <w:p>
      <w:pPr>
        <w:spacing w:after="120" w:before="160"/>
        <w:ind w:firstLine="720"/>
        <w:jc w:val="both"/>
      </w:pPr>
      <w:r>
        <w:rPr>
          <w:rFonts w:ascii="Times New Roman" w:hAnsi="Times New Roman" w:eastAsia="Times New Roman" w:cs="Times New Roman"/>
          <w:b/>
          <w:i w:val="0"/>
          <w:sz w:val="22"/>
        </w:rPr>
        <w:t xml:space="preserve">2. </w:t>
      </w:r>
      <w:r>
        <w:rPr>
          <w:rFonts w:ascii="Times New Roman" w:hAnsi="Times New Roman" w:eastAsia="Times New Roman" w:cs="Times New Roman"/>
          <w:b w:val="0"/>
          <w:i w:val="0"/>
          <w:sz w:val="22"/>
        </w:rPr>
        <w:t>Определение Конституционного Суда Российской Федерации по данной жалобе окончательно и обжалованию не подлежит. Заместитель Председателя Конституционного Суда Российской Федерации Т.Г.Морщакова Судья Конституционного Суда Российской Федерации В.Д.Зорькин</w:t>
      </w:r>
    </w:p>
    <w:p>
      <w:pPr>
        <w:spacing w:before="200" w:after="300"/>
        <w:pBdr>
          <w:bottom w:val="single" w:sz="6" w:space="1" w:color="000000"/>
        </w:pBdr>
      </w:pPr>
    </w:p>
    <w:p>
      <w:pPr>
        <w:spacing w:before="200"/>
      </w:pPr>
      <w:r>
        <w:rPr>
          <w:rFonts w:ascii="Times New Roman" w:hAnsi="Times New Roman" w:eastAsia="Times New Roman" w:cs="Times New Roman"/>
          <w:b/>
          <w:i w:val="0"/>
          <w:sz w:val="20"/>
        </w:rPr>
        <w:t xml:space="preserve">Источник: </w:t>
      </w:r>
      <w:r>
        <w:rPr>
          <w:rFonts w:ascii="Times New Roman" w:hAnsi="Times New Roman" w:eastAsia="Times New Roman" w:cs="Times New Roman"/>
          <w:b w:val="0"/>
          <w:i/>
          <w:sz w:val="20"/>
        </w:rPr>
        <w:t>ksrf.ru</w:t>
      </w:r>
    </w:p>
    <w:sectPr w:rsidR="00FC693F" w:rsidRPr="0006063C" w:rsidSect="00034616">
      <w:pgSz w:w="11906" w:h="16838"/>
      <w:pgMar w:top="1134" w:right="850" w:bottom="1134" w:left="1701"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rPr>
      <w:rFonts w:ascii="Times New Roman" w:hAnsi="Times New Roman" w:eastAsia="Times New Roman" w:cs="Times New Roman"/>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