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33482-П/1995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Махова Мухтара Маховича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Н.В.Витрука, Г.А.Гаджиева, Ю.М.Данилова, В.Д.Зорькина, А.Л.Кононова, В.О.Лучина, Т.Г.Морщаковой, Ю.Д.Рудкина, Н.В.Селезнева, В.Г.Стрекозова, О.И.Тиунова, О.С.Хохряковой, В.Г.Ярославцева, рассмотрев в пленарном заседании вопрос о соответствии жалобы гражданина М.М.Махова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1995 года М.М.Махов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Применение судами положения пункта 1 статьи 37 Жилищного кодекса РСФСР осуществляется в первую очередь на основании установления и исследования конкретных обстоятельств, подтверждающих или опровергающих факты проживания гражданина в жилом помещении, признанным непригодным для постоянного проживания, отнесения этого помещения к числу жилых и т.д. Данные факты могут быть установлены только судами общей юрисдикции, поскольку это входит в их компетенцию.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Махова Мухтара Маховича как не соответствующей требованиям Федерального конституционного закона "О Конституционном Суде Российской Федерации" ввиду ее неподведомственности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