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закрытого акционерного общества "Дромасс" на нарушение конституционных прав постановлением главы администрации Омской области "О территориальном дорожном фонде"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вопрос о соответствии жалобы закрытого акционерного общества "Дромасс"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"Дромасс" обратилось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(часть 4) Конституции Российской Федерации, пункту 3 части первой статьи 3 и части первой статьи 96 Федерального конституционного закона "О Конституционном Суде Российской Федерации" граждане и их объединения вправе обращаться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закрытого акционерного общества "Дромасс"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