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40566-П/1996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Задорина (Масленникова) Виктора Овсеевича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В.О.Лучина, Т.Г.Морщаковой, Ю.Д.Рудкина, Н.В.Селезнева, В.Г.Стрекозова, О.И.Тиунова, О.С.Хохряковой, В.Г.Ярославцева, заслушав в пленарном заседании вопрос о соответствии жалобы гражданина В.О.Задорина (Масленникова)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1995 года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Оспариваемое в жалобе постановление первого заместителя председателя Московского городского суда от 1 февраля 1988 года, содержащее ссылку на статью 123 Гражданского процессуального кодекса РСФСР, вынесено в период действия Конституции Российской Федерации 1978 года, с последующими изменениями и дополнениями, не предусматривавшей права граждан на рассмотрение их дела в том суде и тем судьей, к подсудности которых оно относится. Это означает, что по существу заявитель обжалует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Задорина (Масленникова) Виктора Овсеевича как не соответствующей требованиям Федерального конституционного закона "О Конституционном Суде Российской Федерации"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