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40593-П/1996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Воробьевой Риммы Ивановны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Н.В.Витрука, Г.А.Гаджиева, Ю.М.Данилова, В.Д.Зорькина, А.Л.Кононова, В.О.Лучина, Т.Г.Морщаковой, Ю.Д.Рудкина, В.Г.Стрекозова, О.И.Тиунова, О.С.Хохряковой, В.Г.Ярославцева, рассмотрев в пленарном заседании вопрос о соответствии жалобы гражданки Р.И.Воробьевой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Р.И.Воробьева, дочь военнослужащего, погибшего во время Великой Отечественной войны, неоднократно обращалась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статьи 125 (часть 4) Конституции Российской Федерации, пункта 3 части первой статьи 3 и части первой статьи 96 Федерального конституционного закона "О Конституционном Суде Российской Федерации" следует, что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Воробьевой Риммы Ивановны как не соответствующей требованиям Федерального конституционного закона "О Конституционном Суде Российской Федерации" ввиду неподведомственности поставленного в ней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