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140188-П/2013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Земцова Василия Михайловича на нарушение его конституционных прав статьей 761, пунктом 2 примечаний к статье 198, пунктом 2 примечаний к статье 199 Уголовного кодекса Российской Федерации, частями первой и третьей статьи 281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В.М.Земцова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71 (пункт «о») Конституции Российской Федерации уголовное и уголовно-процессуальное законодательство находится в ведении Российской Федерации. Федеральный законодатель, реализуя принадлежащие ему полномочия, правомочен как устанавливать в законе ответственность за правонарушения, так и устранять ее, а также определять, какие меры государственного принуждения подлежат использованию в качестве средств реагирования на те или иные деяния и при каких условиях возможен отказ от их применения (Определение Конституционного Суда Российской Федерации от 21 июня 2011 года № 860- О-О). Так, в статье 761 УК Российской Федерации закреплены положения о том, что лицо, впервые совершившее преступление, предусмотренное статьями 198–1991 данного Кодекса, освобождается от уголовной ответственности, если ущерб, причиненный бюджетной системе Российской Федерации в результате преступления, возмещен в полном объеме (часть первая); лицо, впервые совершившее преступление, предусмотренное статьей 1992 данного Кодекса, освобождается от уголовной ответственности, если возместило ущерб, причиненный государству в результате совершения преступления, и перечислило в федеральный бюджет денежное возмещение в размере пятикратной суммы причиненного ущерба (часть вторая). Соответствующий порядок прекращения уголовного преследования по делам об указанных преступлениях в сфере экономической деятельности предусмотрен в статье 281 УПК Российской Федерации. Установление неодинаковых условий для освобождения от уголовного преследования лиц, совершивших разные преступления, направлено на 4 достижение конституционно значимых целей дифференциации уголовной ответственности и наказания, усиления их исправительного воздействия, предупреждения новых преступлений и тем самым – защиты личности, общества и государства от преступных посягательств. По существу, заявитель, утверждая о неконституционности оспариваемых им норм уголовного и уголовно-процессуального законов, предлагает распространить действие пункта 2 примечаний к статье 198 и пункта 2 примечаний к статье 199 УК Российской Федерации на лиц, совершивших преступления, предусмотренные статьей 1992 данного Кодекса, т.е. внести целесообразные, на его взгляд, изменения в действующее законодательство. Между тем разрешение этого вопроса является прерогативой федерального законодателя и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Земцова Василия Михайловича, поскольку разрешение поставленного в ней вопроса Конституционному Суду Российской Федерации неподведомственно.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