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169621-П/2010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Ферда Бориса Михайловича на нарушение его конституционных прав частью 5 статьи 3 Федерального закона от 29 декабря 2010 года № 433-ФЗ «О внесении изменений в Уголовно-процессуальный кодекс Российской Федерации и признании утратившими силу отдельных законодательных актов (положений законодательных актов)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О.С.Хохряковой, судей К.В.Арановского,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В.Г.Ярославцева, рассмотрев вопрос о возможности принятия жалобы гражданина Б.М.Ферда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федеральными законами. При этом в силу общего принципа действия закона во времени его нормы распространяются на отношения, права и обязанности, возникшие после введения его в действие. Статья же 54 Конституции Российской Федерации содержит императивное правило о недопустимости придания обратной силы закону, устанавливающему или отягчающему ответственность (часть 1), и о применении нового закона, если после совершения правонарушения ответственность за него устранена или смягчена (часть 2). В иных случаях только законодатель вправе распространить действие закона на правоотношения, которые возникли до 3 его введения в действие (определения Конституционного Суда Российской Федерации от 28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Ферда Бориса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О.С.Хохрякова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