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164978-П/2014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страхового открытого акционерного общества «ВСК» на нарушение конституционных прав и свобод отдельными положениями статьи 4 Федерального закона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страхового открытого акционерного общества «ВСК»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Президиума Высшего Арбитражного Суда Российской Федерации были отменены судебные акты нижестоящих арбитражных судов и удовлетворены предъявленные к страховому открытому 2 акционерному обществу «ВСК» требования о взыскании убытков вследствие ненадлежащего исполнения обязательств по договору страхования.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статьи 4 Федерального закона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 исполнительной системы» (в оспариваемой редакции), связывая наступление страхового случая с установлением застрахованному лицу инвалидности, направлен на защиту интересов военнослужащих и приравненных к ним в обязательном государственном страховании лиц, прекративших служебные отношения после получения травмы (заболевания) (Определение Конституционного Суда Российской Федерации от 22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страхового открытого акционерного общества «ВСК»,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