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101095-П/2012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Латыфова Хаета Хаетовича на нарушение его конституционных прав рядом положений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рассмотрев по требованию гражданина Х.Х.Латыфова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Х.Х.Латыфовым материалы, не находит оснований для принятия его жалобы к рассмотрению. Оспариваемые заявителем часть 2 статьи 1.1, статья 1.2 и часть 2 статьи 1.7 КоАП Российской Федерации устанавливают приоритет норм международного права перед законодательством Российской Федерации об административных правонарушениях, определяют задачи законодательства об административных правонарушениях и правила его действия во времени. Будучи направленными на соблюдение конституционных принципов и защиту процессуальных прав лица, привлекаемого к административной ответственности, по своему содержанию указанные законоположения носят общий характер, а потому не могут рассматриваться как нарушающие какие- либо конституционные права заявителя. Осуществляя в целях защиты государственного суверенитета и обеспечения экономической безопасности таможенное регулирование, федеральный законодатель устанавливает как правила перемещения через 3 таможенную границу Российской Федерации товаров и иных предметов, их оформления и контроля ввоза и вывоза, соблюдая которые граждане реализуют право перемещать товары, в том числе предназначенные для личного пользования, через таможенную границу Российской Федерации в соответствии с избранным таможенным режимом, так и ответственность за нарушение этих правил (статья 4; статья 71, пункты «ж», «о»; статья 72, пункт «к» части 1, Конституции Российской Федерации). Частью 1 статьи 16.2 КоАП Российской Федерации закреплена ответственность за недекларирование по установленной форме товаров, подлежащих таможенному декларированию, за исключением случаев, предусмотренных статьей 16.4 данного Кодекса. Как следует из этой статьи, рассматриваемой во взаимосвязи с иными положениями Кодекса Российской Федерации об административных правонарушениях, предусмотренное в ней правонарушение посягает на самостоятельный объект охраняемых государством общественных отношений в сфере таможенного регулирования, связанных с осуществлением таможенного контроля. Именно поэтому лицо привлекается к ответственности за совершение данного административного правонарушения независимо от того, были ли направлены его действия на уклонение от уплаты таможенных платежей. Таким образом, оспариваемая норма с учетом ее предназначения в действующей системе правового регулирования не может рассматриваться как нарушающая конституционные права заявителя в указанном им аспекте.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Латыфова Хаета Хаетовича,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