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101129-П/2012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общественной организации инвалидов «Юридический центр на КМВ «Арбитр» на нарушение конституционных прав и свобод пунктом 1 части 1 статьи 150 и частью 2 статьи 236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жалобы общественной организации инвалидов «Юридический центр на КМВ «Арбитр»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Общественная организация инвалидов «Юридический центр на КМВ «Арбитр» обратилась в арбитражный суд с заявлением о выдаче исполнительного листа на принудительное исполнение решения третейского суда, созданного при данной организации, в части взыскания судебных издержек. Постановлением Президиума Высшего Арбитражного Суда Российской Федерации вынесенные по данному заявлению судебные акты 2 арбитражных судов первой и кассационной инстанции отменены и производство по делу прекращено с указанием на то, что третейский суд стороной в экономическом споре не является, а потому его заявление о выдаче исполнительного листа на принудительное исполнение его же решения не подлежит рассмотрению арбитражными судами.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заявителем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общественной организации инвалидов «Юридический центр на КМВ «Арбитр»,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