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915954-О/2026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Громовой Тамары Александровны на нарушение ее конституционных прав частью 3 статьи 5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Т.А.Громовой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Т.А.Громова оспаривает конституционность части 3 статьи 5 «Ведение садоводства или огородничества на земельных участках, расположенных в границах территории садоводства или огородничества, без участия (членства) в товариществе»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 2 Из представленных материалов следует, что решением суда общей юрисдикции, с которым согласились суды вышестоящих инстанций, заявительнице отказано в признании незаконными решений общего собрания членов товарищества собственников недвижимости в части, касающейся размера платы за пользование общим имуществом для лиц, ведущих садоводство в индивидуальном порядке. По мнению Т.А.Громовой, оспариваемая норма противоречит статье 17 (часть 3) Конституции Российской Федерации в той мере, в какой по смыслу, придаваемому ей правоприменительной практикой, она возлагает на гражданина, ведущего садоводство в индивидуальном порядке, обязанность вносить плату за содержание общего имущества, которое этот гражданин фактически не использует.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Громовой Тамары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