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Кутдузова Наиля Рауфовича на нарушение его конституционных прав пунктом 1 части четвертой статьи 413, частями первой и пятой статьи 415 Уголовно-процессуального кодекса Российской Федерации, а также пунктами 5‒7 Требований к осуществлению расчетов за ресурсы, необходимые для предоставления коммунальных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Н.Р.Кутдузова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Конституционного Суда Российской Федерации от 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Кутдузова Наиля Рауфовича,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