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917055-О/2026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Бекешко Ильи Сергеевича на нарушение его конституционных прав статьями 3907 и 3909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И.С.Бекешко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И.С.Бекешко оспаривает конституционность статей 3907 «Рассмотрение кассационных жалобы, представления» 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Определением судьи Верховного Суда Российской Федерации, с которым согласился заместитель Председателя данного суда, отказано в передаче для рассмотрения в судебном заседании Судебной коллегии по 2 гражданским делам Верховного Суда Российской Федерации кассационной жалобы И.С.Бекешко на судебные постановления по делу с его участием. По мнению заявителя, оспариваемые положения не соответствуют статьям 2, 18 и 46 Конституции Российской Федерации в той мере, в какой они позволяют судье Верховного Суда Российской Федерации выносить определения об отказе в передаче кассационной жалобы для рассмотрения в судебном заседании суда кассационной инстанции без указания мотивов такого отказа.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кассационной жалобы,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для рассмотрения в судебном заседании коллегиальным составом судей. Вместе с тем законоположения, регламентирующие указанную процедуру, не допускают произвольного, в том числе немотивированного, отказа в рассмотрении кассационной жалобы,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Гарантией же соблюдения судьей Верховного Суда Российской Федерации указанных требований является предусмотренное Гражданским процессуальным кодексом Российской Федерации право заинтересованного лица обратиться к Председателю Верховного Суда Российской Федерации, его заместителю с просьбой не согласиться с определением судьи этого суда об отказе в передаче кассационной жалобы для рассмотрения в судебном заседании судебной коллегии Верховного Суда Российской Федерации и 3 вынести определение об отмене данного определения и о передаче кассационной жалобы для рассмотрения в судебном заседании суда кассационной инстанции (часть третья статьи 3907). Таким образом, статья 3907 ГПК Российской Федерации призвана обеспечить реализацию правомочий Верховного Суда Российской Федерации по исправлению возможных судебных ошибок и принятию судом законного и обоснованного решения и не может расцениваться в качестве нарушающей конституционные права заявителя, перечисленные в жалобе, как и статья 3909 данного Кодекса, предписывающая судье Верховного Суда Российской Федерации, помимо прочего, указывать мотивы, по которым отказано в передаче кассационной жалобы, представления для рассмотрения в судебном заседании суда кассационной инстанции (пункт 5). Установление же того, имелись ли основания для передачи кассационной жалобы И.С.Бекешко для рассмотрения в судебном заседании суда кассационной инстанции, на что, по сути, направлены доводы заявителя,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Бекешко Ильи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