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Онищенко Виктора Васильевича на нарушение его конституционных прав частью 11 статьи 15 и частью 2 статьи 24 Закона Воронежской области «О социальной поддержке отдельных категорий граждан в Воронежской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В.В.Онищенко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В.В.Онищенко оспаривает конституционность следующих положений Закона Воронежской области от 14 ноября 2008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а также адресную социальную поддержку (статья 75, часть 7), вместе с тем не устанавливает конкретные способы и объемы социальной защиты, предоставляемой тем или иным категориям граждан. Разрешение этих вопросов отнесено к компетенции законодателя, который располагает достаточно широкой дискрецией при определении организационно-правовых форм и механизмов реализации социальной защиты, включая круг получателей, порядок и условия предоставления мер социальной поддержки, в том числе в случаях, когда гражданин одновременно относится к нескольким категориям лиц, имеющих право на такие меры по различным основаниям.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Онищенко Виктора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