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921238-О/2026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Ткаченко Татьяны Валентиновны на нарушение ее конституционных прав пунктом 1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Т.В.Ткаченко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Т.В.Ткаченко, которой судами отказано в удовлетворении требования о признании права собственности на квартиру в порядке приобретательной давности, оспаривает конституционность пункта 1 статьи 234 «Приобретательная давность» ГК Российской Федерации. По мнению заявительницы, оспариваемое положение противоречит Конституции Российской Федерации, ее статьям 1, 2, 15, 19, 35, 40, 45 и 46, в той мере, в какой по смыслу, придаваемому ему правоприменительной практикой, препятствует признанию права собственности в силу приобретательной давности за лицом, которому прежний владелец (балансодержатель) передал имущество по ордеру муниципальных органов без нарушения прав и законных интересов других лиц.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заявительницей в обоснование своей позиции, свидетельствуют о том, что, оспаривая конституционность пункта 1 статьи 234 ГК Российской Федерации, она фактически предлагает Конституционному Суду Российской Федерации оценить обоснованность принятых по ее делу судебных постановлений с учетом приведенных в жалобе сведений. Между тем разрешение данного вопроса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Ткаченко Татьяны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