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Выплата текущих платежей (в соответствии с их очередностью) связанных с сохранностью, реализацией и прочее, предмета залога (пункт 6 статьи 138 Федерального закона от 26.10.2002 № 127-ФЗ "О несостоятельности (банкротстве)" (далее - Закон о банкротстве) в размере 2 560 042,88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Оплата реестровых требований залогодержателя (пункт 5 статьи 213.27 Закона о банкротстве), удовлетворение требований залогового кредитора в размере 4 831 641,41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Выплата супружеской доли ФИО2 в размере 6 699 697,85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Выплата оставшихся текущих платежей в соответствии с очередностью (пункт 2 статьи 213.27 Закона о банкротстве);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Пропорциональное распределение между реестровыми кредиторами в соответствии с очередностью (пункт 3 статьи 213.27 Закона о банкротстве). Определением суда первой инстанции от 25.09.2025, оставленным без изменения судами апелляционной инстанции и округа, разрешены разногласия в части распределения средств от реализации залогового имущества в следующем порядке: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Выплата текущих платежей (в соответствии с их очередностью), связанных с сохранностью, реализацией предмета залога в размере 2 560 042,88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Оплата реестровых требований залогодержателя (пункт 5 статьи 213.27 Закона о банкротстве в размере 4 831 641,41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Денежные средства, оставшиеся из этих средств (13 399 395,71 руб.) подлежат распределению в следующем порядке: 50% (6 699 697,85 руб.)подлежат выплате ФИО2, остальные 50% (6 699 697,85 руб.)включению в конкурсную массу и распределению в общем порядке, установленном статьей и пунктами 2, 3 статьи 213.27 Закона о банкротстве. В удовлетворении заявления ФИО2 в остальной части отказано. В кассационной жалобе, поданной в Верховный Суд Российской Федерации, заявитель указывает на нарушения в толковании и применении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(далее - АПК РФ) основания для передачи жалобы для рассмотрения в судебном заседании отсутствуют. Разрешая спорные разногласия, суды исходили из того, что бывшая супруга должника, являющаяся наряду с должником созалогодателем, то есть должником по обеспечительному обязательству, не может получить денежные средства, соответствующие ее доле в общем имуществе, приоритетно перед кредитором-залогодержателем. Суды руководствовались положениями статей 213.25, 213.26, 213.27 Федерального закона от 26.10.2002 № 127-ФЗ "О несостоятельности (банкротстве)", статьей 45 Семейного кодекса Российской Федерации, разъяснениями, содержащимися в постановления Пленума Верховного суда Российской Федерации от 25.12.2018 № 48 "О некоторых вопросах, связанных с особенностями формирования и распределения конкурсной массы в делах о банкротстве граждан". Основания не согласиться с названными выводами отсутствуют. Возражения заявителя, изложенные в настоящей кассационной жалобе, являлись предметом рассмотрения нижестоящих судов и получили надлежащую правовую оценку.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представлено. Руководствуясь статьями 291.6 , 291.8 АПК РФ , определил: 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МИФНС №26 по РО (подробнее) ОАО "Сбербанк России" (подробнее) ООО "Управляющая организация Квадро" (подробнее) ООО "Эос" (подробнее) ПАО КОММЕРЧЕСКИЙ БАНК "ЦЕНТР-ИНВЕСТ" (подробнее) ТОВАРИЩЕСТВО СОБСТВЕННИКОВ НЕДВИЖИМОСТИ "СТАРОЧЕРКАССКАЯ РИВЬЕРА 2" (подробнее) Иные лица: Ассоциация "МСРО АУ" (подробнее) Росреестр (подробнее) Судьи дела: Самуйлов С.В. (судья) (подробнее) Последние документы по делу: Определение от 1 июля 2026 г. по делу № А53-19196/2021 Определение от 31 октября 2025 г. по делу № А53-19196/2021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