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2013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Московской области от 09.04.2013 по делу № А41-45919/12, постановление Десятого арбитражного апелляционного суда от 02.07.2013 и постановление Федерального арбитражного суда Московского округа от 07.10.2013 по тому же делу отменить. Дело направить на новое рассмотрение в Арбитражный суд Московской области. Председательствующий А.А. Иванов 9 РЕЗЮМЕ по делу № 18357/13 В случае ненадлежащего формулирования истцом способа защиты при очевидности преследуемого им материально-правового интереса суд обязан сам определить, из какого правоотношения спор возник и какие нормы подлежат применению (пункт 3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При этом правовая квалификация договора судами общей юрисдикции не имеет преюдициального значения для рассмотрения спора арбитражными судами. В силу пункта 3 статьи 551 Гражданского кодекса Российской Федерации и абзаца третьего пункта 1 статьи 16 Федерального закона от 21.07.1997 № 122-ФЗ «О государственной регистрации прав на недвижимое имущество и сделок с ним», если одна из сторон договора купли-продажи недвижимого имущества уклоняется от совершения действий по государственной регистрации перехода права собственности на это имущество, другая сторона вправе обратиться к этой стороне с иском о государственной регистрации перехода права собственности. По общему правилу такой иск подлежит удовлетворению при условии исполнения обязательства продавца по передаче имущества. Передача недвижимости не означает перехода права собственности, но является одним из оснований для регистрации перехода права собственности, если иное не указано в договоре или законе.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