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Бурятия от 17.05.2013 по делу № А10-3732/2012, постановление Четвертого арбитражного апелляционного суда от 09.09.2013 и постановление Федерального арбитражного суда Восточно-Сибирского округа от 16.01.2014 по тому же делу оставить без изменения. 10 Заявления Министерства культуры Республики Бурятия и Территориального управления Федерального агентства по управлению государственным имуществом в Республике Бурятия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