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02.07.2013 по делу № А40-151181/12 и постановление Девятого арбитражного апелляционного суда от 11.09.2013 по тому же делу оставить без изменения. Заявление общества с ограниченной ответственностью «Еврострой»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