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10.12.2012 по делу № А41-36402/2012 и постановление Федерального арбитражного суда Московского округа от 21.01.2014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