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30.11.2012 по делу № А40-116181/12-11-1051, постановление Девятого арбитражного апелляционного суда от 02.04.2013 и постановление Федерального арбитражного суда Московского округа от 17.07.2013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