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Мордовия от 06.12.2012 по делу № А39-3670/2012, постановление Первого арбитражного апелляционного суда от 08.05.2013 и постановление Суда по интеллектуальным правам от 26.09.2013 по тому же делу оставить без изменения. Заявление общероссийской общественной организации «Российское Авторское Общество»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