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07.12.2012 по делу № А40-114872/12-6-1075, постановление Девятого арбитражного апелляционного суда от 18.03.2013 и постановление Федерального арбитражного суда Московского округа от 15.07.2013 по тому же делу отменить. Дело направить на новое рассмотрение в Арбитражный суд города Москвы. Председательствующий А.В. Абсалямов РЕЗЮМЕ 11 по делу № 11021/13 В условиях, когда спор о праве на недвижимость невозможен вследствие прекращения правоспособности ответчика и изменение ЕГРП не повлечет нарушения прав и законных интересов других лиц, юридическое лицо, полагающее свои вещные права нарушенными, вправе обратиться в арбитражный суд с заявлением к регистрирующему органу по правилам главы 24 Арбитражного процессуального кодекса Российской Федерации. Заявленное требование подлежит рассмотрению по существу в установленном порядке, и суд, придя к выводу, что решение о государственной регистрации перехода права собственности на спорное недвижимое имущество вынесено в отсутствие на то законных оснований, вправе указать в резолютивной части судебного акта на внесение соответствующей записи в ЕГРП.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