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29.08.2012 по делу № А40-35039/11-8-304 и постановление Федерального арбитражного суда Московского округа от 20.11.2012 по тому же делу в части отказа в выдаче исполнительных листов на принудительное исполнение решения Международного коммерческого арбитражного суда при Торгово- промышленной палате Российской Федерации от 24.01.2011 на взыскание с закрытого акционерного общества «Регион Округ Страна поставка» и компании «УорлиПарсонс Юроп Энерджи Сервисес, Лтд» (WorleyParsons Europe Energy Services, Ltd) солидарно в пользу открытого акционерного общества «Энел ОГК-5» 2 088 600 000 рублей 16 (пункт 1 решения Международного коммерческого арбитражного суда при Торгово-промышленной палате Российской Федерации), а также в части распределения арбитражных сборов (пункты 5, 6, 7 решения Международного коммерческого арбитражного суда при Торгово- промышленной палате Российской Федерации) и отмены решения Международного коммерческого арбитражного суда при Торгово- промышленной палате Российской Федерации в указанной части отменить. Арбитражному суду города Москвы выдать исполнительные листы в указанной части. В остальной части оспариваемые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