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15.03.2013 по делу № А40-116623/2012, постановление Девятого арбитражного апелляционного суда от 05.07.2013 и постановление Федерального арбитражного суда Московского округа от 04.09.2013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