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05.06.2012 по делу № А40-38278/2012-12-166, постановление Девятого арбитражного апелляционного суда от 11.09.2012 и постановление Федерального арбитражного суда Московского округа от 28.01.2013 по тому же делу отменить. Исковые требования общества с ограниченной ответственностью «Первое музыкальное Издательство» удовлетворить. Взыскать с общества с ограниченной ответственностью «МТФ Продакшн» в пользу общества с ограниченной ответственностью «Первое музыкальное Издательство» 600 000 рублей компенсации за нарушение исключительных авторских прав на музыкальные произведения под названием «Лондон», «Сан-Франциско», «Чао, бамбино», выразившееся в их использовании в созданной ответчиком телевизионной передаче «Стиляги», обязать опубликовать данное постановление и запретить использовать названные произведения в передаче «Стиляги».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