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31.05.2013 по делу № А40-127535/11-20-521 Арбитражного суда города Москвы в части эпизода, связанного с признанием собранного, но не выплаченного общероссийской общественной организацией «Российское Авторское Общество» авторского вознаграждения кредиторской задолженностью с истекшим сроком исковой давности, отменить. Постановление Девятого арбитражного апелляционного суда от 28.01.2013 в названной части оставить без изменения.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