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Хакасия от 16.04.2012 по делу № А74-4581/2011, постановление Третьего арбитражного апелляционного суда от 09.08.2012 и постановление Федерального арбитражного суда Восточно-Сибирского округа от 01.04.2013 по тому же делу в части удовлетворения требования общества с ограниченной ответственностью «Переработка» об истребовании из незаконного владения компаний Valleyfield Ventures Limited, Rolfing Limited, Wyfield Investments Limited 2229 обыкновенных именных акций открытого акционерного общества «Хакасский бентонит» и об обязании открытого акционерного общества Акционерный коммерческий банк «СОЮЗ», закрытого акционерного общества «Депозитарно-Клиринговая Компания» 10 и открытого акционерного общества «Межрегиональный регистраторский центр» произвести соответствующие записи о владельце названных акций отменить, производство по делу в указанной части прекратить. В удовлетворении остальной части иска к компаниям Valleyfield Ventures Limited, Rolfing Limited, Wyfield Investments Limited, открытому акционерному обществу Акционерный коммерческий банк «СОЮЗ», закрытому акционерному обществу «Депозитарно-Клиринговая Компания», открытому акционерному обществу «Межрегиональный регистраторский центр»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