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13.06.2012 по делу № А40-21595/12-150-199, постановление Девятого арбитражного апелляционного суда от 03.09.2012 и постановление Федерального арбитражного суда Московского округа от 19.12.2012 по тому же делу отменить в части. 9 Взыскать с общества с ограниченной ответственностью «Фрегат» и общества с ограниченной ответственностью «СпецТрансРегионСтрой» в солидарном порядке в пользу общества с ограниченной ответственностью «ТиссенКрупп Материалс» 1 943 258 рублей долга и 194 325 рублей 80 копеек неустойки. Взыскать с общества с ограниченной ответственностью «СпецТрансРегионСтрой» в пользу общества с ограниченной ответственностью «ТиссенКрупп Материалс» 17 100 рублей 31 копейку неустойки за неисполнение договора поручительства.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