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18.09.2012 по делу № А40-25950/10(86)-150«Б», постановление Девятого 7 арбитражного апелляционного суда от 16.11.2012 и постановление Федерального арбитражного суда Московского округа от 04.02.2013 по этому делу в части включения в реестр требований кредиторов закрытого акционерного общества «Грод» требований Радайкиной Л.Н., составляющих проценты в размере 898 437 рублей за период с 31.01.2009 по 28.09.2010 и проценты в размере 520 382 рублей за период с 29.09.2010 по 14.09.2011, начисленные по простому векселю от 11.11.2008 № 002-2008 на сумму 2 164 552 рубля, отменить. Дело в части включения в реестр требований кредиторов закрытого акционерного общества «Грод» указанных процентов по векселю направить на новое рассмотрение в Арбитражный суд города Москвы. В остальной части названные судебные акты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