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08.02.2012 по делу № А60-40529/2011, постановление Семнадцатого арбитражного апелляционного суда от 05.05.2012 и постановление Федерального арбитражного суда Уральского округа от 07.08.2012 по тому же делу в части отказа в удовлетворении заявленных требований отменить. В отмененной части требования общества с ограниченной ответственностью «Металлургсервис» удовлетворить. Решение Межрайонной инспекции Федеральной налоговой службы № 4 по Свердловской области от 30.06.2011 № 10-17/32 и требование об уплате налога, пеней, штрафа по состоянию на 23.09.2010 № 1362 в части доначисления недоимки по налогу на прибыль в размере 2 342 301 рубля, по налогу на добавленную стоимость в размере 10 858 536 рублей, по единому социальному налогу в размере 1 121 579 рублей, по налогу на имущество организаций в размере 21 825 рублей, начисления соответствующих сумм пеней и штрафа, предусмотренного пунктом 3 статьи 122 Налогового кодекса Российской Федерации, признать недействительными. В остальной части названные судебные акты оставить без изменения. 9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