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Челябинской области от 07.11.2011 по делу № А76-10850/2011, постановление Восемнадцатого арбитражного апелляционного суда от 06.02.2012 и постановление Федерального арбитражного суда Уральского округа от 14.06.2012 по тому же делу в 9 части взыскания с открытого акционерного общества «Межрегиональная распределительная сетевая компания Урала» в пользу открытого акционерного общества «Челябинский электрометаллургический комбинат» 284 892 673 рублей 30 копеек неосновательного обогащения отменить. В указанной части в удовлетворении иска открытого акционерного общества «Челябинский электрометаллургический комбинат»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