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05.10.2011 по делу № А40-26057/11-45-230, постановление Девятого арбитражного апелляционного суда от 21.12.2011 и постановление Федерального арбитражного суда Московского округа от 19.04.2012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