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Ивановской области от 01.12.2011 по делу № А17-4033/2011, постановление Второго арбитражного апелляционного суда от 08.02.2012 и постановление Федерального арбитражного суда Волго-Вятского округа от 10.05.2012 по тому же делу отменить. Признать недействительными решения Инспекции Федеральной налоговой службы по городу Иваново от 27.06.2011 об отказе в государственной регистрации изменений, вносимых в учредительные 8 документы общества с ограниченной ответственностью «Люкс», об уменьшении уставного капитала до 8 100 рублей и изменений, не связанных с внесением изменений в учредительные документы общества с ограниченной ответственностью «Люкс», об изменении состава его участников. Обязать Инспекцию Федеральной налоговой службы по городу Иваново зарегистрировать изменения, вносимые в учредительные документы общества с ограниченной ответственностью «Люкс», об уменьшении уставного капитала до 8 100 рублей и изменения, не связанные с внесением изменений в учредительные документы общества с ограниченной ответственностью «Люкс», об изменении состава его участников, в пятидневный срок со дня представления документов в регистрирующий орган.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