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Московской области от 30.09.2011 по делу № А41-34406/2010, постановление Десятого арбитражного апелляционного суда от 28.12.2011 и постановление Федерального арбитражного суда Московского округа от 20.04.2012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