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10.10.2011 по делу № А40-2560/11-16-22, постановление Девятого арбитражного апелляционного суда от 25.01.2012 и постановление Федерального арбитражного суда Московского округа от 28.04.2012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