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05.07.2011 по делу № А41-34050/10, постановление Десятого арбитражного апелляционного суда от 23.11.2011 и постановление Федерального арбитражного суда Московского округа от 27.04.2012 по тому же делу в части отказа в удовлетворении иска закрытого акционерного общества «Русавиаинтер» о возложении на открытое акционерное общество «Авиакомпания Московия» обязанности предоставить информацию об обществе «Русавиаинтер» и учитываемых на его лицевом счете ценных бумагах; справку об операциях по лицевому счету общества 10 «Русавиаинтер» за период с 01.01.2008 по 31.05.2010; информацию о всех записях на лицевом счете общества «Русавиаинтер»; информацию о процентном соотношении общего количества принадлежащих обществу «Русавиаинтер» ценных бумаг к уставному капиталу общества «Авиакомпания Московия» и общему количеству ценных бумаг данной категории (типа) отменить. В указанной части исковое требование удовлетворить. Обязать открытое акционерное общество «Авиакомпания Московия» предоставить соответствующую информацию.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