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29.02.2012 по делу № А14-6339/2011 Арбитражного суда Воронежской области в части отказа в удовлетворении иска общества с ограниченной ответственностью «Спектр» о взыскании с муниципального казенного предприятия городского округа «Город Воронеж» «Производственное объединение банно-прачечного хозяйства «Чайка» 539 рублей 85 копеек процентов за пользование чужими денежными средствами отменить. В отмененной части решение Арбитражного суда Воронежской области от 06.10.2011 и постановление Девятнадцатого арбитражного апелляционного суда от 06.12.2011 по тому же делу оставить без изменения. В остальной части постановление Федерального арбитражного суда Центрального округа от 29.02.2012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