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03.11.2011 по делу № А40-145073/10-2-745 и постановление Федерального арбитражного суда Московского округа от 07.02.2012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