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Владимирской области от 09.09.2011 по делу № А11-4231/2011, постановление Первого арбитражного апелляционного суда от 28.11.2011 и постановление Федерального арбитражного суда Волго-Вятского округа от 07.02.2012 по тому же делу оставить без изменения. Заявление открытого акционерного общества «Ковровский механический завод»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