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18.03.2011 по делу № А56-74425/2010, постановление Тринадцатого арбитражного апелляционного суда от 15.06.2011 и постановление Федерального арбитражного суда Северо- Западного округа от 04.10.2011 по тому же делу в части отказа в удовлетворении требований индивидуального предпринимателя Хасанова В.Р. к Межрайонной инспекции Федеральной налоговой службы № 24 по Санкт-Петербургу о признании недействительными решения от 30.09.2010 № 107/05-98 в отношении доначисления налога по 8 упрощенной системе налогообложения по эпизоду, связанному с обоснованностью применения единого налога на вмененный доход в 2006 году, и требования от 10.12.2010 № 2641 об уплате налога, пеней, штрафа в указанной части отменить. Требования индивидуального предпринимателя Хасанова В.Р. в этой части удовлетворить. Признать недействительными решение от 30.09.2010 № 107/05-98 и требование от 10.12.2010 № 2641 Межрайонной инспекции Федеральной налоговой службы № 24 по Санкт-Петербургу в названной части.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