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22.09.2011 по делу № А40-4717/11-67-39 Арбитражного суда города Москвы оставить без изменения. Заявления общества с ограниченной ответственностью «Рекона» и открытого акционерного общества «Московский винно-коньячный завод «КиН»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