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01.06.2011 по делу № А40-41184/2011-50-359 и постановление Федерального арбитражного суда Московского округа от 23.08.2011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