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01.02.2011 по делу № А40-115097/10-160-984, постановление Девятого арбитражного апелляционного суда от 06.04.2011 и постановление Федерального арбитражного суда Московского округа от 27.07.2011 по тому же делу отменить. Взыскать с общества с ограниченной ответственностью «Первая страховая компания» в пользу общества с ограниченной ответственностью «Страховая компания «Цюрих» 90 657 рублей 8 копеек страховой выплаты. Взыскать с открытого акционерного общества «Страховая компания «Русский мир» в пользу общества с ограниченной ответственностью «Страховая компания «Цюрих» 90 657 рублей 8 копеек страховой выплаты.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