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города Москвы от 21.02.2011 по делу № А40-33999/10-47-296, постановление Девятого арбитражного апелляционного суда от 19.05.2011 и постановление Федерального арбитражного суда Московского округа от 24.08.2011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