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общества с ограниченной ответственностью «Черола» о пересмотре в порядке надзора решения Арбитражного суда Тамбовской области от 21.12.2010 по делу № А64-4929/2010 и постановления Федерального арбитражного суда Центрального округа от 23.05.2011 по тому же делу. Заслушав и обсудив доклад судьи Першутова А.Г., Президиум установил следующее.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Общество с ограниченной ответственностью «Черола» (далее – общество) обратилось в Арбитражный суд Тамбовской области с иском к муниципальному учреждению «Долговой центр» (правопреемнику муниципального учреждения «Управляющая жилищная компания»; далее – учреждение) и муниципальному образованию городской округ –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Тамбовской области от 21.12.2010 по делу № А64-4929/2010 и постановление Федерального арбитражного суда Центрального округа от 23.05.2011 по тому же делу в части отказа во взыскании неустойки в сумме 50 079 рублей отменить. В указанной части иск удовлетворить. Взыскать с муниципального образования городской округ – город Тамбов в лице Жилищного комитета администрации города Тамбова в пользу общества с ограниченной ответственностью «Черола» неустойку в сумме 50 079 рублей. В остальной части оспариваемые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