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2010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Челябинской области от 09.11.2010 по делу № А76-13763/2010-2-452, постановление Восемнадцатого арбитражного апелляционного суда от 01.02.2011, постановление Федерального арбитражного суда Уральского округа от 06.05.2011 по тому же делу оставить без изменения. Заявление Государственного комитета «Единый тарифный орган Челябинской области» оставить без удовлетворения.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