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05.03.2011 по делу № А40-99593/09-110-659 Арбитражного суда города Москвы отменить. Решение Арбитражного суда города Москвы от 27.07.2010 и постановление Девятого арбитражного апелляционного суда от 25.10.2010 по тому же делу в части требования о взыскании компенсации за нарушение исключительных прав отменить, в остальной части данные судебные акты оставить без изменения. Дело в отмененной части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