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20.08.2010 по делу № А41-11850/10 и постановление Федерального арбитражного суда Московского округа от 28.12.2010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